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5-</w:t>
      </w:r>
      <w:r>
        <w:rPr>
          <w:rFonts w:ascii="Times New Roman" w:eastAsia="Times New Roman" w:hAnsi="Times New Roman" w:cs="Times New Roman"/>
          <w:sz w:val="20"/>
          <w:szCs w:val="20"/>
        </w:rPr>
        <w:t>49</w:t>
      </w:r>
      <w:r>
        <w:rPr>
          <w:rFonts w:ascii="Times New Roman" w:eastAsia="Times New Roman" w:hAnsi="Times New Roman" w:cs="Times New Roman"/>
          <w:sz w:val="20"/>
          <w:szCs w:val="20"/>
        </w:rPr>
        <w:t>-200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right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 Нефтеюганск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 Р.В.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(628309 ХМАО-Югра, г. Нефтеюганск, 1 мкр-н, дом 30), рассмотрев в открытом судебном заседании дело об административном правонарушении в отношении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Турсинбаева </w:t>
      </w:r>
      <w:r>
        <w:rPr>
          <w:rFonts w:ascii="Times New Roman" w:eastAsia="Times New Roman" w:hAnsi="Times New Roman" w:cs="Times New Roman"/>
          <w:sz w:val="26"/>
          <w:szCs w:val="26"/>
        </w:rPr>
        <w:t>Бахтиера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Абдукадыровича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34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6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п/с </w:t>
      </w:r>
      <w:r>
        <w:rPr>
          <w:rFonts w:ascii="Times New Roman" w:eastAsia="Times New Roman" w:hAnsi="Times New Roman" w:cs="Times New Roman"/>
          <w:sz w:val="26"/>
          <w:szCs w:val="26"/>
        </w:rPr>
        <w:t>Исфисар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Ходжентского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района, Ленинабадской области, Таджикистан</w:t>
      </w:r>
      <w:r>
        <w:rPr>
          <w:rFonts w:ascii="Times New Roman" w:eastAsia="Times New Roman" w:hAnsi="Times New Roman" w:cs="Times New Roman"/>
          <w:sz w:val="26"/>
          <w:szCs w:val="26"/>
        </w:rPr>
        <w:t>, работающего директором ООО «</w:t>
      </w:r>
      <w:r>
        <w:rPr>
          <w:rFonts w:ascii="Times New Roman" w:eastAsia="Times New Roman" w:hAnsi="Times New Roman" w:cs="Times New Roman"/>
          <w:sz w:val="26"/>
          <w:szCs w:val="26"/>
        </w:rPr>
        <w:t>Автоколорсервис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зарегистрированного и проживающего по адресу: </w:t>
      </w:r>
      <w:r>
        <w:rPr>
          <w:rStyle w:val="cat-UserDefinedgrp-37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7rplc-12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6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5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>ст. 15.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Турсинбаев Б.А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являясь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директором ООО «</w:t>
      </w:r>
      <w:r>
        <w:rPr>
          <w:rFonts w:ascii="Times New Roman" w:eastAsia="Times New Roman" w:hAnsi="Times New Roman" w:cs="Times New Roman"/>
          <w:sz w:val="26"/>
          <w:szCs w:val="26"/>
        </w:rPr>
        <w:t>Автоколорсервис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зарегистрированного 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ХМАО-Югра, г. Нефтеюганск,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ул. </w:t>
      </w:r>
      <w:r>
        <w:rPr>
          <w:rFonts w:ascii="Times New Roman" w:eastAsia="Times New Roman" w:hAnsi="Times New Roman" w:cs="Times New Roman"/>
          <w:sz w:val="26"/>
          <w:szCs w:val="26"/>
        </w:rPr>
        <w:t>Транспортная, ПГСК «Югра Авто», 11/1, гараж 120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 нарушение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 5 ст. 93.1 НК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.06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налоговый орган по месту учета – межрайонную ИФНС России № 7 по Ханты-Мансийскому автономному округу – Югре, документы по требованию № </w:t>
      </w:r>
      <w:r>
        <w:rPr>
          <w:rStyle w:val="cat-UserDefinedgrp-38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12.05.2023</w:t>
      </w:r>
      <w:r>
        <w:rPr>
          <w:rFonts w:ascii="Times New Roman" w:eastAsia="Times New Roman" w:hAnsi="Times New Roman" w:cs="Times New Roman"/>
          <w:sz w:val="26"/>
          <w:szCs w:val="26"/>
        </w:rPr>
        <w:t>, выставленному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Автоколорсервис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в рамках проведения выездной налоговой проверки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Нижневартовское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транспортное предприятие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Документы по требованию № </w:t>
      </w:r>
      <w:r>
        <w:rPr>
          <w:rStyle w:val="cat-UserDefinedgrp-38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12.05.2023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представлены, уведомление о невозможности представления документов и информации в установленный срок не поступало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Турсинбаев Б.А</w:t>
      </w:r>
      <w:r>
        <w:rPr>
          <w:rFonts w:ascii="Times New Roman" w:eastAsia="Times New Roman" w:hAnsi="Times New Roman" w:cs="Times New Roman"/>
          <w:sz w:val="26"/>
          <w:szCs w:val="26"/>
        </w:rPr>
        <w:t>., извещенн</w:t>
      </w:r>
      <w:r>
        <w:rPr>
          <w:rFonts w:ascii="Times New Roman" w:eastAsia="Times New Roman" w:hAnsi="Times New Roman" w:cs="Times New Roman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судом о времени и месте рассмотрения дела надлежащим образом,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судебное заседание не явился</w:t>
      </w:r>
      <w:r>
        <w:rPr>
          <w:rFonts w:ascii="Times New Roman" w:eastAsia="Times New Roman" w:hAnsi="Times New Roman" w:cs="Times New Roman"/>
          <w:sz w:val="26"/>
          <w:szCs w:val="26"/>
        </w:rPr>
        <w:t>, о причинах неявк</w:t>
      </w:r>
      <w:r>
        <w:rPr>
          <w:rFonts w:ascii="Times New Roman" w:eastAsia="Times New Roman" w:hAnsi="Times New Roman" w:cs="Times New Roman"/>
          <w:sz w:val="26"/>
          <w:szCs w:val="26"/>
        </w:rPr>
        <w:t>и суду не сообщил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Турсинбаев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в 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судья, исследовав материалы дела, считает, что вина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генерального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директора </w:t>
      </w:r>
      <w:r>
        <w:rPr>
          <w:rFonts w:ascii="Times New Roman" w:eastAsia="Times New Roman" w:hAnsi="Times New Roman" w:cs="Times New Roman"/>
          <w:sz w:val="26"/>
          <w:szCs w:val="26"/>
        </w:rPr>
        <w:t>Турсинбаев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Б.А</w:t>
      </w:r>
      <w:r>
        <w:rPr>
          <w:rFonts w:ascii="Times New Roman" w:eastAsia="Times New Roman" w:hAnsi="Times New Roman" w:cs="Times New Roman"/>
          <w:sz w:val="26"/>
          <w:szCs w:val="26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25.09.2023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 </w:t>
      </w:r>
      <w:r>
        <w:rPr>
          <w:rFonts w:ascii="Times New Roman" w:eastAsia="Times New Roman" w:hAnsi="Times New Roman" w:cs="Times New Roman"/>
          <w:sz w:val="26"/>
          <w:szCs w:val="26"/>
        </w:rPr>
        <w:t>Турсинбаев Б.А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срок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налоговый орган по месту учета – межрайонную ИФНС России № 7 по Ханты-Мансийскому автономному округу – Югре, документы по требованию № </w:t>
      </w:r>
      <w:r>
        <w:rPr>
          <w:rStyle w:val="cat-UserDefinedgrp-38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12.05.2023, выставленному ООО «</w:t>
      </w:r>
      <w:r>
        <w:rPr>
          <w:rFonts w:ascii="Times New Roman" w:eastAsia="Times New Roman" w:hAnsi="Times New Roman" w:cs="Times New Roman"/>
          <w:sz w:val="26"/>
          <w:szCs w:val="26"/>
        </w:rPr>
        <w:t>Автоколорсервис</w:t>
      </w:r>
      <w:r>
        <w:rPr>
          <w:rFonts w:ascii="Times New Roman" w:eastAsia="Times New Roman" w:hAnsi="Times New Roman" w:cs="Times New Roman"/>
          <w:sz w:val="26"/>
          <w:szCs w:val="26"/>
        </w:rPr>
        <w:t>» в рамках проведения выездной налоговой проверки ООО «</w:t>
      </w:r>
      <w:r>
        <w:rPr>
          <w:rFonts w:ascii="Times New Roman" w:eastAsia="Times New Roman" w:hAnsi="Times New Roman" w:cs="Times New Roman"/>
          <w:sz w:val="26"/>
          <w:szCs w:val="26"/>
        </w:rPr>
        <w:t>Нижневартовское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транспортное предприятие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уведомлением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времени, дате и месте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09.08.2023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списком внутренних почтовых отправлений о направлении уведомленияо месте и времени составления протокола, отчетом об отслеживании отправления с почтовым идентификатором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списком внутренних почтовых отправлений о направлении копии протокола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требования № </w:t>
      </w:r>
      <w:r>
        <w:rPr>
          <w:rStyle w:val="cat-UserDefinedgrp-38rplc-4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12.05.2023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поручения № </w:t>
      </w:r>
      <w:r>
        <w:rPr>
          <w:rStyle w:val="cat-UserDefinedgrp-40rplc-4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03.05.2023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выпиской из Единого государственного реестра юридических лиц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Автоколорсервис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п. 4 ст. 31 НК РФ, документы, используемые налоговыми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органами при реализации своих полномочий в отношениях, регулируемых законодательством о налогах и сборах, могут быть переданы налоговым органом лицу, которому они адресованы, или его представителю непосредственно под расписку, направлены по почте заказным письмом или переданы в электронной форме по телекоммуникационным каналам связи через оператора электронного документооборота.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пункту 1 статьи 93.1 НК РФ, должностное лицо налогового органа, проводящее налоговую проверку, вправе истребовать у контрагента или у иных лиц, располагающих документами (информацией), касающимися деятельности проверяемого налогоплательщика (плательщика сбора, плательщика страховых взносов, налогового агента), эти документы (информацию).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подп. 1 п. 5 ст. 93.1 НК РФ, лицо, получившее требование о представлении документов (информации) в соответствии с пунктами 1 и 1.1 настоящей статьи, исполняет его в течение пяти дней со дня получения или в тот же срок уведомляет, что не располагает </w:t>
      </w:r>
      <w:r>
        <w:rPr>
          <w:rFonts w:ascii="Times New Roman" w:eastAsia="Times New Roman" w:hAnsi="Times New Roman" w:cs="Times New Roman"/>
          <w:sz w:val="26"/>
          <w:szCs w:val="26"/>
        </w:rPr>
        <w:t>истребуемыми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документами (информацией).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Если </w:t>
      </w:r>
      <w:r>
        <w:rPr>
          <w:rFonts w:ascii="Times New Roman" w:eastAsia="Times New Roman" w:hAnsi="Times New Roman" w:cs="Times New Roman"/>
          <w:sz w:val="26"/>
          <w:szCs w:val="26"/>
        </w:rPr>
        <w:t>истребуемые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документы (информация) не могут быть представлены в указанный срок, налоговый орган при получении от лица, у которого истребованы документы (информация), уведомления о невозможности представления в установленный срок документов (информации), вправе продлить срок представления этих документов (информации).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Доказательства неправомерности требований налоговой инспекции либо уведомление налогового органа о невозможности представления документов в установленный срок материалы дела не содержат.</w:t>
      </w:r>
    </w:p>
    <w:p>
      <w:pPr>
        <w:widowControl w:val="0"/>
        <w:tabs>
          <w:tab w:val="left" w:pos="142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 7 ст. 3 Федерального закона от 06.12.2011 года № 402-ФЗ «О бухгалтерском учете» определено, что руководитель экономического субъекта – лицо, являющееся единоличным исполнительным органом экономического субъекта, либо лицо, ответственное за ведение дел экономического субъекта, либо управляющий, которому переданы функции единоличного исполнительного органа.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ч.1 ст. 7 Федерального закона от 06.12.2011 года № 402-ФЗ «О бухгалтерском учете», ведение бухгалтерского учета и хранение документов бухгалтерского учёта организуется руководителем экономического субъекта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tabs>
          <w:tab w:val="left" w:pos="567"/>
        </w:tabs>
        <w:spacing w:before="0" w:after="0"/>
        <w:ind w:left="20" w:right="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лица </w:t>
      </w:r>
      <w:r>
        <w:rPr>
          <w:rFonts w:ascii="Times New Roman" w:eastAsia="Times New Roman" w:hAnsi="Times New Roman" w:cs="Times New Roman"/>
          <w:sz w:val="26"/>
          <w:szCs w:val="26"/>
        </w:rPr>
        <w:t>Турсинбаев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ч. 1 ст. 15.6 Кодекса Российской Федерации об административных правонарушениях, как 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</w:t>
      </w:r>
      <w:r>
        <w:rPr>
          <w:rFonts w:ascii="Times New Roman" w:eastAsia="Times New Roman" w:hAnsi="Times New Roman" w:cs="Times New Roman"/>
          <w:sz w:val="26"/>
          <w:szCs w:val="26"/>
        </w:rPr>
        <w:t>сведений, необходимых для осуществления налогового контроля, за исключением случаев, предусмотренных частью 2 настоящей статьи.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учитывает характер совершенного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Турсинбаев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его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смягчающих и отягчающих административную ответственность в соответствии со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4.2, 4.3 Кодекса Российской Федерации об административных правонарушениях, мировой судья не находит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 учётом изложенного, руководствуясь ст.ст. 29.9 ч.1, 29.10, 30.1 Кодекса Российской Федерации об административных правонарушениях, мировой судья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директора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Автоколорсервис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Турсинбаева </w:t>
      </w:r>
      <w:r>
        <w:rPr>
          <w:rFonts w:ascii="Times New Roman" w:eastAsia="Times New Roman" w:hAnsi="Times New Roman" w:cs="Times New Roman"/>
          <w:sz w:val="26"/>
          <w:szCs w:val="26"/>
        </w:rPr>
        <w:t>Бахтиера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Абдукадыровича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ым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 ст. 15.6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триста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tabs>
          <w:tab w:val="left" w:pos="284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подлежит уплате на счет: 03100643000000018700, Получатель платежа: УФК по ХМАО-Югре (Департамент административного обеспечения Ханты-Мансийского автономного округа - Югры, л/с 04872D08080), ИНН: 8601056281, КПП: 860101001, наименование банка: РКЦ ХАНТЫ-МАНСИЙСК//УФК по ХМАО-Югре г. Ханты-Мансийск//УФК по ХМАО-Югре, БИК: 007162163, </w:t>
      </w:r>
      <w:r>
        <w:rPr>
          <w:rFonts w:ascii="Times New Roman" w:eastAsia="Times New Roman" w:hAnsi="Times New Roman" w:cs="Times New Roman"/>
          <w:sz w:val="26"/>
          <w:szCs w:val="26"/>
        </w:rPr>
        <w:t>Кор.сч</w:t>
      </w:r>
      <w:r>
        <w:rPr>
          <w:rFonts w:ascii="Times New Roman" w:eastAsia="Times New Roman" w:hAnsi="Times New Roman" w:cs="Times New Roman"/>
          <w:sz w:val="26"/>
          <w:szCs w:val="26"/>
        </w:rPr>
        <w:t>. 40102810245370000007, КБК 72011601153010006140, ОКТМО: 71874000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0412365400395016792315153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шестидесяти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за неуплату административного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</w:t>
      </w:r>
      <w:r>
        <w:rPr>
          <w:rFonts w:ascii="Times New Roman" w:eastAsia="Times New Roman" w:hAnsi="Times New Roman" w:cs="Times New Roman"/>
          <w:sz w:val="26"/>
          <w:szCs w:val="26"/>
        </w:rPr>
        <w:t>срок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tabs>
          <w:tab w:val="left" w:pos="6285"/>
        </w:tabs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                         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ind w:left="156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tabs>
          <w:tab w:val="left" w:pos="5490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4rplc-6">
    <w:name w:val="cat-ExternalSystemDefined grp-34 rplc-6"/>
    <w:basedOn w:val="DefaultParagraphFont"/>
  </w:style>
  <w:style w:type="character" w:customStyle="1" w:styleId="cat-PassportDatagrp-26rplc-7">
    <w:name w:val="cat-PassportData grp-26 rplc-7"/>
    <w:basedOn w:val="DefaultParagraphFont"/>
  </w:style>
  <w:style w:type="character" w:customStyle="1" w:styleId="cat-UserDefinedgrp-37rplc-10">
    <w:name w:val="cat-UserDefined grp-37 rplc-10"/>
    <w:basedOn w:val="DefaultParagraphFont"/>
  </w:style>
  <w:style w:type="character" w:customStyle="1" w:styleId="cat-PassportDatagrp-27rplc-12">
    <w:name w:val="cat-PassportData grp-27 rplc-12"/>
    <w:basedOn w:val="DefaultParagraphFont"/>
  </w:style>
  <w:style w:type="character" w:customStyle="1" w:styleId="cat-ExternalSystemDefinedgrp-36rplc-13">
    <w:name w:val="cat-ExternalSystemDefined grp-36 rplc-13"/>
    <w:basedOn w:val="DefaultParagraphFont"/>
  </w:style>
  <w:style w:type="character" w:customStyle="1" w:styleId="cat-ExternalSystemDefinedgrp-35rplc-14">
    <w:name w:val="cat-ExternalSystemDefined grp-35 rplc-14"/>
    <w:basedOn w:val="DefaultParagraphFont"/>
  </w:style>
  <w:style w:type="character" w:customStyle="1" w:styleId="cat-UserDefinedgrp-38rplc-21">
    <w:name w:val="cat-UserDefined grp-38 rplc-21"/>
    <w:basedOn w:val="DefaultParagraphFont"/>
  </w:style>
  <w:style w:type="character" w:customStyle="1" w:styleId="cat-UserDefinedgrp-38rplc-25">
    <w:name w:val="cat-UserDefined grp-38 rplc-25"/>
    <w:basedOn w:val="DefaultParagraphFont"/>
  </w:style>
  <w:style w:type="character" w:customStyle="1" w:styleId="cat-UserDefinedgrp-39rplc-32">
    <w:name w:val="cat-UserDefined grp-39 rplc-32"/>
    <w:basedOn w:val="DefaultParagraphFont"/>
  </w:style>
  <w:style w:type="character" w:customStyle="1" w:styleId="cat-UserDefinedgrp-38rplc-36">
    <w:name w:val="cat-UserDefined grp-38 rplc-36"/>
    <w:basedOn w:val="DefaultParagraphFont"/>
  </w:style>
  <w:style w:type="character" w:customStyle="1" w:styleId="cat-UserDefinedgrp-38rplc-41">
    <w:name w:val="cat-UserDefined grp-38 rplc-41"/>
    <w:basedOn w:val="DefaultParagraphFont"/>
  </w:style>
  <w:style w:type="character" w:customStyle="1" w:styleId="cat-UserDefinedgrp-40rplc-43">
    <w:name w:val="cat-UserDefined grp-40 rplc-43"/>
    <w:basedOn w:val="DefaultParagraphFont"/>
  </w:style>
  <w:style w:type="character" w:customStyle="1" w:styleId="cat-UserDefinedgrp-41rplc-60">
    <w:name w:val="cat-UserDefined grp-41 rplc-60"/>
    <w:basedOn w:val="DefaultParagraphFont"/>
  </w:style>
  <w:style w:type="character" w:customStyle="1" w:styleId="cat-UserDefinedgrp-42rplc-63">
    <w:name w:val="cat-UserDefined grp-42 rplc-6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